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D" w:rsidRPr="00BD7EC3" w:rsidRDefault="000937DD" w:rsidP="00BD7EC3">
      <w:pPr>
        <w:pStyle w:val="ConsPlusTitlePage"/>
      </w:pPr>
      <w:bookmarkStart w:id="0" w:name="_GoBack"/>
      <w:bookmarkEnd w:id="0"/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</w:t>
      </w:r>
      <w:r w:rsidR="000937DD">
        <w:rPr>
          <w:rFonts w:ascii="Times New Roman" w:hAnsi="Times New Roman" w:cs="Times New Roman"/>
          <w:b/>
          <w:bCs/>
          <w:sz w:val="23"/>
          <w:szCs w:val="23"/>
        </w:rPr>
        <w:t xml:space="preserve">                </w:t>
      </w:r>
      <w:r w:rsidR="000937D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37DD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937D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Самарской области</w:t>
      </w:r>
    </w:p>
    <w:p w:rsidR="000937DD" w:rsidRDefault="003D78B3" w:rsidP="003D7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0937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0937DD">
        <w:rPr>
          <w:rFonts w:ascii="Times New Roman" w:hAnsi="Times New Roman" w:cs="Times New Roman"/>
          <w:sz w:val="24"/>
          <w:szCs w:val="24"/>
        </w:rPr>
        <w:t>____________№________</w:t>
      </w:r>
    </w:p>
    <w:p w:rsidR="002D324A" w:rsidRDefault="002D324A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7DD" w:rsidRDefault="000937DD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50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анализа осуществления главными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дминистраторами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 xml:space="preserve">средств бюджета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Пестравский Самарской области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внутреннего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 и внутреннего финансового аудита</w:t>
      </w:r>
    </w:p>
    <w:p w:rsidR="002D324A" w:rsidRDefault="002D324A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B3" w:rsidRPr="003D78B3" w:rsidRDefault="003D78B3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937DD" w:rsidRDefault="008E720D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7DD" w:rsidRPr="003F150C">
        <w:rPr>
          <w:rFonts w:ascii="Times New Roman" w:hAnsi="Times New Roman" w:cs="Times New Roman"/>
          <w:sz w:val="28"/>
          <w:szCs w:val="28"/>
        </w:rPr>
        <w:t>1.</w:t>
      </w:r>
      <w:r w:rsidR="008D62F6">
        <w:rPr>
          <w:rFonts w:ascii="Times New Roman" w:hAnsi="Times New Roman" w:cs="Times New Roman"/>
          <w:sz w:val="28"/>
          <w:szCs w:val="28"/>
        </w:rPr>
        <w:t>1.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7DD" w:rsidRPr="003F150C">
        <w:rPr>
          <w:rFonts w:ascii="Times New Roman" w:hAnsi="Times New Roman" w:cs="Times New Roman"/>
          <w:sz w:val="28"/>
          <w:szCs w:val="28"/>
        </w:rPr>
        <w:t>Настоящий Порядок проведения анализа осуществления главными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 w:rsidR="000937DD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="000937DD"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(далее - Порядок)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разработан в целях организации проведения анализа осуществления главными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распорядителями средств бюджета </w:t>
      </w:r>
      <w:r w:rsidR="000937DD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937DD" w:rsidRPr="003F150C">
        <w:rPr>
          <w:rFonts w:ascii="Times New Roman" w:hAnsi="Times New Roman" w:cs="Times New Roman"/>
          <w:sz w:val="28"/>
          <w:szCs w:val="28"/>
        </w:rPr>
        <w:t>,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937DD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937DD" w:rsidRPr="003F150C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37DD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proofErr w:type="gramEnd"/>
      <w:r w:rsidR="000937DD" w:rsidRPr="003F150C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бюджетных средств) внутреннего финансового контроля и внутреннего финансового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аудита.</w:t>
      </w:r>
    </w:p>
    <w:p w:rsidR="00ED3AA9" w:rsidRDefault="00ED3AA9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Органом контроля по проведению анализа </w:t>
      </w:r>
      <w:r w:rsidRPr="003F150C">
        <w:rPr>
          <w:rFonts w:ascii="Times New Roman" w:hAnsi="Times New Roman" w:cs="Times New Roman"/>
          <w:sz w:val="28"/>
          <w:szCs w:val="28"/>
        </w:rPr>
        <w:t>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является аппарат администрации муниципального района Пестравский Самарской области (далее – Орган контроля). Руководство Органа контроля осуществляет руководитель аппарата администрации муниципального района Пестравский Самарской области (далее – руководитель Органа контроля).</w:t>
      </w:r>
    </w:p>
    <w:p w:rsidR="00C63C12" w:rsidRDefault="00C63C12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проведения анализа </w:t>
      </w:r>
      <w:r w:rsidRPr="003F150C">
        <w:rPr>
          <w:rFonts w:ascii="Times New Roman" w:hAnsi="Times New Roman" w:cs="Times New Roman"/>
          <w:sz w:val="28"/>
          <w:szCs w:val="28"/>
        </w:rPr>
        <w:t>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ведущего специалиста муниципального района Пестравский по осуществлению внутреннего муниципального финансового контроля и контроля в сфере закупок (далее – специалист Органа контроля).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планированию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проведению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оформлению результатов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составлению и представлению отчетности по результатам Анализа.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Анализа является формирование и направление главным администраторам средств бюджета муниципального района Пестравский рекомендаций по организации и осуществлению ими внутреннего финансового контроля и внутреннего финансового аудита.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Анализа являются: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недостатков в осуществлении главными администраторами бюджетных средств внутреннего финансового контроля и внутреннего финансового аудита.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Обмен информацией и документами </w:t>
      </w:r>
      <w:r>
        <w:rPr>
          <w:rFonts w:ascii="Times New Roman" w:hAnsi="Times New Roman" w:cs="Times New Roman"/>
          <w:bCs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и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B93EC3" w:rsidRPr="00B93EC3" w:rsidRDefault="00B93EC3" w:rsidP="00B93E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3EC3">
        <w:rPr>
          <w:rFonts w:ascii="Times New Roman" w:hAnsi="Times New Roman" w:cs="Times New Roman"/>
          <w:b w:val="0"/>
          <w:sz w:val="28"/>
          <w:szCs w:val="28"/>
        </w:rPr>
        <w:t>II. Участники проведения Анализа</w:t>
      </w:r>
    </w:p>
    <w:p w:rsidR="00B93EC3" w:rsidRDefault="00B93EC3" w:rsidP="00B93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EC3" w:rsidRDefault="00B93EC3" w:rsidP="00B93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информации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</w:t>
      </w:r>
      <w:r w:rsidR="00907847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EC3" w:rsidRDefault="00B93EC3" w:rsidP="00B9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Деятельность </w:t>
      </w:r>
      <w:r w:rsidR="00907847">
        <w:rPr>
          <w:rFonts w:ascii="Times New Roman" w:hAnsi="Times New Roman" w:cs="Times New Roman"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и главных администраторов бюджетных средств, связанная с проведением Анализа, осуществляется в соответствии с настоящим Порядком.</w:t>
      </w:r>
    </w:p>
    <w:p w:rsidR="00C71AF4" w:rsidRDefault="00C71AF4" w:rsidP="00C71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45" w:rsidRPr="00FF6845" w:rsidRDefault="00FF6845" w:rsidP="00FF68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6845">
        <w:rPr>
          <w:rFonts w:ascii="Times New Roman" w:hAnsi="Times New Roman" w:cs="Times New Roman"/>
          <w:b w:val="0"/>
          <w:sz w:val="28"/>
          <w:szCs w:val="28"/>
        </w:rPr>
        <w:t>III. Планирование Анализа</w:t>
      </w:r>
    </w:p>
    <w:p w:rsidR="00FF6845" w:rsidRDefault="00FF6845" w:rsidP="00FF6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45" w:rsidRDefault="00FF6845" w:rsidP="00FF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Проведение Анализа подлежит ежегодному планированию.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Анализа осуществляется </w:t>
      </w:r>
      <w:r w:rsidR="00442C43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AEE">
        <w:rPr>
          <w:rFonts w:ascii="Times New Roman" w:hAnsi="Times New Roman" w:cs="Times New Roman"/>
          <w:sz w:val="28"/>
          <w:szCs w:val="28"/>
        </w:rPr>
        <w:t xml:space="preserve">как пункт Плана контрольной деятельности органа внутреннего муниципального финансового контроля </w:t>
      </w:r>
      <w:r w:rsidR="00F72A43">
        <w:rPr>
          <w:rFonts w:ascii="Times New Roman" w:hAnsi="Times New Roman" w:cs="Times New Roman"/>
          <w:sz w:val="28"/>
          <w:szCs w:val="28"/>
        </w:rPr>
        <w:t>на очередной год (</w:t>
      </w:r>
      <w:r>
        <w:rPr>
          <w:rFonts w:ascii="Times New Roman" w:hAnsi="Times New Roman" w:cs="Times New Roman"/>
          <w:sz w:val="28"/>
          <w:szCs w:val="28"/>
        </w:rPr>
        <w:t>далее - План).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 формируется в разрезе главных администраторов бюджетных средств, в отношении деятельности которых в соответствующем году запланировано проведение Анализа.</w:t>
      </w:r>
      <w:r w:rsidR="006F7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лане указываются:</w:t>
      </w:r>
    </w:p>
    <w:p w:rsidR="00E208AD" w:rsidRPr="00E208AD" w:rsidRDefault="00E208AD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контроля</w:t>
      </w:r>
      <w:r w:rsidRPr="00F72A43">
        <w:rPr>
          <w:rFonts w:ascii="Times New Roman" w:hAnsi="Times New Roman" w:cs="Times New Roman"/>
          <w:sz w:val="28"/>
          <w:szCs w:val="28"/>
        </w:rPr>
        <w:t>;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анализируемый период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59505A" w:rsidRPr="0059505A" w:rsidRDefault="0059505A" w:rsidP="005950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05A">
        <w:rPr>
          <w:rFonts w:ascii="Times New Roman" w:hAnsi="Times New Roman" w:cs="Times New Roman"/>
          <w:b w:val="0"/>
          <w:sz w:val="28"/>
          <w:szCs w:val="28"/>
        </w:rPr>
        <w:t>IV. Проведение Анализа</w:t>
      </w:r>
    </w:p>
    <w:p w:rsidR="0059505A" w:rsidRDefault="0059505A" w:rsidP="00595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05A" w:rsidRDefault="0059505A" w:rsidP="0059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бюджетных средств по запросу </w:t>
      </w:r>
      <w:r w:rsidR="005237AF">
        <w:rPr>
          <w:rFonts w:ascii="Times New Roman" w:hAnsi="Times New Roman" w:cs="Times New Roman"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D27C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20 декабря подготавливает проект запроса о предоставлении информации об осуществлении главным администратором бюджетных средств внутреннего финансового контроля и внутреннего финансового аудита, содержащего перечень </w:t>
      </w:r>
      <w:r w:rsidR="00CB554F">
        <w:rPr>
          <w:rFonts w:ascii="Times New Roman" w:hAnsi="Times New Roman" w:cs="Times New Roman"/>
          <w:sz w:val="28"/>
          <w:szCs w:val="28"/>
        </w:rPr>
        <w:t xml:space="preserve">критериев качества осуществления главными администраторами (администраторами)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</w:t>
      </w:r>
      <w:r w:rsidR="00CB554F">
        <w:rPr>
          <w:rFonts w:ascii="Times New Roman" w:hAnsi="Times New Roman" w:cs="Times New Roman"/>
          <w:sz w:val="28"/>
          <w:szCs w:val="28"/>
        </w:rPr>
        <w:t xml:space="preserve">удита </w:t>
      </w:r>
      <w:proofErr w:type="gramStart"/>
      <w:r w:rsidR="00CB554F">
        <w:rPr>
          <w:rFonts w:ascii="Times New Roman" w:hAnsi="Times New Roman" w:cs="Times New Roman"/>
          <w:sz w:val="28"/>
          <w:szCs w:val="28"/>
        </w:rPr>
        <w:t>(</w:t>
      </w:r>
      <w:r w:rsidR="00243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109C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1410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4D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информацию об организационной структуре главного администратора бюджетных средств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бюджетных средств внутреннего финансового контроля и внутреннего финансового аудита (далее - Перечень документов), которые главным администраторам бюджетных средств надлежит представить в </w:t>
      </w:r>
      <w:r w:rsidR="008C267A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нормативных правовых и (или) правовых актов главных администраторов бюджетных средств, регламентирующих организацию и осуществление внутреннего финансового контроля и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отчетности о результатах внутреннего финансового контроля, направленной руководителю главного администратора бюджетных средств;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бюджетных средств;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8C267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документы, формирование которых необходимо в соответствии с нормативными правовыми актами Российской Федерации</w:t>
      </w:r>
      <w:r w:rsidR="008C2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</w:t>
      </w:r>
      <w:r w:rsidR="008C26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C267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в адрес главных администраторов бюджетных средств, в отношении деятельности которых проводится Анализ. При этом срок представления запрашиваемых информации и документов устанавливается не ранее 1</w:t>
      </w:r>
      <w:r w:rsidR="008C26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бюджетных средств по осуществлению внутреннего финансового контроля и внутреннего финансового аудита </w:t>
      </w:r>
      <w:r w:rsidR="00434D8A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подлежит Анализу.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Запрос направляется в адрес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34D8A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администратора бюджетных средств повторного запроса о представлении документов и (или) информации в случаях: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бюджетных средств, в отношении деятельности которого проводится Анализ.</w:t>
      </w:r>
    </w:p>
    <w:p w:rsidR="00F03CBD" w:rsidRDefault="00F03CBD" w:rsidP="00F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3C77">
        <w:rPr>
          <w:rFonts w:ascii="Times New Roman" w:hAnsi="Times New Roman" w:cs="Times New Roman"/>
          <w:sz w:val="28"/>
          <w:szCs w:val="28"/>
        </w:rPr>
        <w:t>Срок проведения анализа не может превышать 30 рабочих дней.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Главные админ</w:t>
      </w:r>
      <w:r w:rsidR="00140485">
        <w:rPr>
          <w:rFonts w:ascii="Times New Roman" w:hAnsi="Times New Roman" w:cs="Times New Roman"/>
          <w:sz w:val="28"/>
          <w:szCs w:val="28"/>
        </w:rPr>
        <w:t xml:space="preserve">истраторы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запрашиваемые информацию и документы в </w:t>
      </w:r>
      <w:r w:rsidR="0014048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 </w:t>
      </w:r>
      <w:r w:rsidR="0014048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бюджетных средств, должны быть прошиты, пронумерованы, подписаны должностным лицом и заверены печатью главного администратора бюджетных средств.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превышения главными администраторами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представления документов и (или) информации, указанного в запросе, более чем на 10 календарных дней, такие документы и (или) информация признаются не</w:t>
      </w:r>
      <w:r w:rsidR="0014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представленными.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</w:t>
      </w:r>
      <w:r w:rsidR="004A149D">
        <w:rPr>
          <w:rFonts w:ascii="Times New Roman" w:hAnsi="Times New Roman" w:cs="Times New Roman"/>
          <w:sz w:val="28"/>
          <w:szCs w:val="28"/>
        </w:rPr>
        <w:t>.</w:t>
      </w:r>
    </w:p>
    <w:p w:rsidR="00122BB0" w:rsidRPr="00CC1D00" w:rsidRDefault="00122BB0" w:rsidP="0012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4.8. В</w:t>
      </w:r>
      <w:r w:rsidRPr="00CC1D00">
        <w:rPr>
          <w:rFonts w:ascii="Times New Roman" w:hAnsi="Times New Roman" w:cs="Times New Roman"/>
          <w:sz w:val="28"/>
          <w:szCs w:val="28"/>
        </w:rPr>
        <w:t xml:space="preserve"> целях определения оценки качества осуществления главным администратором бюджетных средств внутреннего финансового контроля и внутреннего финансового аудита в документе, являющемся основанием проведения анализа внутреннего финансового контроля и внутреннего финансового аудита, предусматривается перечень </w:t>
      </w:r>
      <w:r w:rsidR="007B28E5">
        <w:rPr>
          <w:rFonts w:ascii="Times New Roman" w:hAnsi="Times New Roman" w:cs="Times New Roman"/>
          <w:sz w:val="28"/>
          <w:szCs w:val="28"/>
        </w:rPr>
        <w:t>критери</w:t>
      </w:r>
      <w:r w:rsidR="00114B73">
        <w:rPr>
          <w:rFonts w:ascii="Times New Roman" w:hAnsi="Times New Roman" w:cs="Times New Roman"/>
          <w:sz w:val="28"/>
          <w:szCs w:val="28"/>
        </w:rPr>
        <w:t>й</w:t>
      </w:r>
      <w:r w:rsidRPr="00CC1D00">
        <w:rPr>
          <w:rFonts w:ascii="Times New Roman" w:hAnsi="Times New Roman" w:cs="Times New Roman"/>
          <w:sz w:val="28"/>
          <w:szCs w:val="28"/>
        </w:rPr>
        <w:t xml:space="preserve">, подлежащих изучению в ходе проведения такого анализа, и указанных в </w:t>
      </w:r>
      <w:hyperlink w:anchor="P64" w:history="1">
        <w:r w:rsidRPr="00114B73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CC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CC1D00">
        <w:rPr>
          <w:rFonts w:ascii="Times New Roman" w:hAnsi="Times New Roman" w:cs="Times New Roman"/>
          <w:sz w:val="28"/>
          <w:szCs w:val="28"/>
        </w:rPr>
        <w:t>.</w:t>
      </w:r>
    </w:p>
    <w:p w:rsidR="00122BB0" w:rsidRDefault="00122BB0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05A" w:rsidRPr="003A3040" w:rsidRDefault="0059505A" w:rsidP="005950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040">
        <w:rPr>
          <w:rFonts w:ascii="Times New Roman" w:hAnsi="Times New Roman" w:cs="Times New Roman"/>
          <w:b w:val="0"/>
          <w:sz w:val="28"/>
          <w:szCs w:val="28"/>
        </w:rPr>
        <w:t>V. Оформление результатов Анализа</w:t>
      </w:r>
    </w:p>
    <w:p w:rsidR="0059505A" w:rsidRDefault="0059505A" w:rsidP="00595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591" w:rsidRPr="00CC1D00" w:rsidRDefault="0059505A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В </w:t>
      </w:r>
      <w:r w:rsidR="00976591">
        <w:rPr>
          <w:rFonts w:ascii="Times New Roman" w:hAnsi="Times New Roman" w:cs="Times New Roman"/>
          <w:sz w:val="28"/>
          <w:szCs w:val="28"/>
        </w:rPr>
        <w:t>отчете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 </w:t>
      </w:r>
      <w:r w:rsidR="00B87787">
        <w:rPr>
          <w:rFonts w:ascii="Times New Roman" w:hAnsi="Times New Roman" w:cs="Times New Roman"/>
          <w:sz w:val="28"/>
          <w:szCs w:val="28"/>
        </w:rPr>
        <w:t>Органа контроля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 о результатах проведенного анализа осуществления главными администраторами бюджетных средств внутреннего финансового контроля и внутреннего финансового аудита, направляемом главному администратору бюджетных средств (далее - </w:t>
      </w:r>
      <w:r w:rsidR="00976591">
        <w:rPr>
          <w:rFonts w:ascii="Times New Roman" w:hAnsi="Times New Roman" w:cs="Times New Roman"/>
          <w:sz w:val="28"/>
          <w:szCs w:val="28"/>
        </w:rPr>
        <w:t>Отчет</w:t>
      </w:r>
      <w:r w:rsidR="00976591" w:rsidRPr="00CC1D00">
        <w:rPr>
          <w:rFonts w:ascii="Times New Roman" w:hAnsi="Times New Roman" w:cs="Times New Roman"/>
          <w:sz w:val="28"/>
          <w:szCs w:val="28"/>
        </w:rPr>
        <w:t>), отражается следующая информация: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отчет о результатах оценки качества внутреннего финансового контроля и внутреннего финансового ауд</w:t>
      </w:r>
      <w:r w:rsidR="003579D0">
        <w:rPr>
          <w:rFonts w:ascii="Times New Roman" w:hAnsi="Times New Roman" w:cs="Times New Roman"/>
          <w:sz w:val="28"/>
          <w:szCs w:val="28"/>
        </w:rPr>
        <w:t>ита (далее - Результаты оценки).</w:t>
      </w:r>
      <w:r w:rsidR="00976591" w:rsidRPr="00976591">
        <w:rPr>
          <w:rFonts w:ascii="Times New Roman" w:hAnsi="Times New Roman" w:cs="Times New Roman"/>
          <w:sz w:val="28"/>
          <w:szCs w:val="28"/>
        </w:rPr>
        <w:t xml:space="preserve"> 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Результаты оценки оформляются по форме согласно </w:t>
      </w:r>
      <w:hyperlink w:anchor="P686" w:history="1">
        <w:r w:rsidR="00976591" w:rsidRPr="00CC1D0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="0097659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579D0" w:rsidRPr="00CC1D00">
        <w:rPr>
          <w:rFonts w:ascii="Times New Roman" w:hAnsi="Times New Roman" w:cs="Times New Roman"/>
          <w:sz w:val="28"/>
          <w:szCs w:val="28"/>
        </w:rPr>
        <w:t>;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976591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76591" w:rsidRPr="00CC1D00">
        <w:rPr>
          <w:rFonts w:ascii="Times New Roman" w:hAnsi="Times New Roman" w:cs="Times New Roman"/>
          <w:sz w:val="28"/>
          <w:szCs w:val="28"/>
        </w:rPr>
        <w:t>К предложениям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 относятся предложения, направленные: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 xml:space="preserve">на определение (корректировку) полномочий должностных лиц подразделений главного администратора (администратора) средств федерального бюджета по осуществлению внутреннего финансового </w:t>
      </w:r>
      <w:r w:rsidRPr="00CC1D00">
        <w:rPr>
          <w:rFonts w:ascii="Times New Roman" w:hAnsi="Times New Roman" w:cs="Times New Roman"/>
          <w:sz w:val="28"/>
          <w:szCs w:val="28"/>
        </w:rPr>
        <w:lastRenderedPageBreak/>
        <w:t>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формированию, утверждению и актуализации карт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ведению, учету и хранению регистров (журналов)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периодичности представления информации о результатах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формирование (корректировку) перечней операций (действий по формированию документа, необходимого для выполнения внутренней бюджетной процедуры) подразделениями, ответственными за результаты выполнения внутренних бюджетных процедур;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оценку (совершенствование оценки) бюджетных рисков при принятии решения о включении операции из Перечня операций в карту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определение (корректировку) полномочий подразделения внутреннего финансового аудита;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составлению, утверждению и ведению плана аудиторских проверок;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форме, порядку направления и сроков рассмотрения акта аудиторской проверки;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составлению и представлению отчетности о результатах осуществления внутреннего финансового аудита;</w:t>
      </w:r>
    </w:p>
    <w:p w:rsidR="00976591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обеспечение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аудита.</w:t>
      </w:r>
    </w:p>
    <w:p w:rsidR="004E43EF" w:rsidRPr="00104201" w:rsidRDefault="004E43EF" w:rsidP="004E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01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экземплярах: один экземпляр для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01">
        <w:rPr>
          <w:rFonts w:ascii="Times New Roman" w:hAnsi="Times New Roman" w:cs="Times New Roman"/>
          <w:sz w:val="28"/>
          <w:szCs w:val="28"/>
        </w:rPr>
        <w:t>администратора бюджетных средств, один экземпляр для Администрации.</w:t>
      </w:r>
    </w:p>
    <w:p w:rsidR="004E43EF" w:rsidRPr="00104201" w:rsidRDefault="004E43EF" w:rsidP="004E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 w:rsidRPr="004E4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104201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экземплярах: один экземпляр для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01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средств, один экземпляр для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Pr="00104201">
        <w:rPr>
          <w:rFonts w:ascii="Times New Roman" w:hAnsi="Times New Roman" w:cs="Times New Roman"/>
          <w:sz w:val="28"/>
          <w:szCs w:val="28"/>
        </w:rPr>
        <w:t>.</w:t>
      </w:r>
    </w:p>
    <w:p w:rsidR="0059505A" w:rsidRDefault="00C529D3" w:rsidP="00C529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43EF">
        <w:rPr>
          <w:rFonts w:ascii="Times New Roman" w:hAnsi="Times New Roman" w:cs="Times New Roman"/>
          <w:sz w:val="28"/>
          <w:szCs w:val="28"/>
        </w:rPr>
        <w:t>5.4</w:t>
      </w:r>
      <w:r w:rsidR="0059505A">
        <w:rPr>
          <w:rFonts w:ascii="Times New Roman" w:hAnsi="Times New Roman" w:cs="Times New Roman"/>
          <w:sz w:val="28"/>
          <w:szCs w:val="28"/>
        </w:rPr>
        <w:t xml:space="preserve">. </w:t>
      </w:r>
      <w:r w:rsidR="00F63170">
        <w:rPr>
          <w:rFonts w:ascii="Times New Roman" w:hAnsi="Times New Roman" w:cs="Times New Roman"/>
          <w:sz w:val="28"/>
          <w:szCs w:val="28"/>
        </w:rPr>
        <w:t>Отчет</w:t>
      </w:r>
      <w:r w:rsidR="0059505A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63170">
        <w:rPr>
          <w:rFonts w:ascii="Times New Roman" w:hAnsi="Times New Roman" w:cs="Times New Roman"/>
          <w:sz w:val="28"/>
          <w:szCs w:val="28"/>
        </w:rPr>
        <w:t>руководителем Органа контроля</w:t>
      </w:r>
      <w:r w:rsidR="0059505A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F63170">
        <w:rPr>
          <w:rFonts w:ascii="Times New Roman" w:hAnsi="Times New Roman" w:cs="Times New Roman"/>
          <w:sz w:val="28"/>
          <w:szCs w:val="28"/>
        </w:rPr>
        <w:t>01</w:t>
      </w:r>
      <w:r w:rsidR="0059505A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59505A" w:rsidRDefault="004E43EF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59505A">
        <w:rPr>
          <w:rFonts w:ascii="Times New Roman" w:hAnsi="Times New Roman" w:cs="Times New Roman"/>
          <w:sz w:val="28"/>
          <w:szCs w:val="28"/>
        </w:rPr>
        <w:t xml:space="preserve">. </w:t>
      </w:r>
      <w:r w:rsidR="0079125D">
        <w:rPr>
          <w:rFonts w:ascii="Times New Roman" w:hAnsi="Times New Roman" w:cs="Times New Roman"/>
          <w:sz w:val="28"/>
          <w:szCs w:val="28"/>
        </w:rPr>
        <w:t>Отчет</w:t>
      </w:r>
      <w:r w:rsidR="0059505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 w:rsidR="0079125D">
        <w:rPr>
          <w:rFonts w:ascii="Times New Roman" w:hAnsi="Times New Roman" w:cs="Times New Roman"/>
          <w:sz w:val="28"/>
          <w:szCs w:val="28"/>
        </w:rPr>
        <w:t xml:space="preserve"> подписания  направляется</w:t>
      </w:r>
      <w:r w:rsidR="0059505A">
        <w:rPr>
          <w:rFonts w:ascii="Times New Roman" w:hAnsi="Times New Roman" w:cs="Times New Roman"/>
          <w:sz w:val="28"/>
          <w:szCs w:val="28"/>
        </w:rPr>
        <w:t xml:space="preserve"> </w:t>
      </w:r>
      <w:r w:rsidR="00431F20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Пестравский и </w:t>
      </w:r>
      <w:r w:rsidR="0059505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431F20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</w:t>
      </w:r>
      <w:r w:rsidR="00431F2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5950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71AF4" w:rsidRDefault="00C71AF4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Pr="003F150C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00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00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00" w:rsidRPr="004E3C77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533525" w:rsidRDefault="00533525" w:rsidP="0053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</w:p>
    <w:p w:rsidR="00596856" w:rsidRDefault="00596856" w:rsidP="00533525">
      <w:pPr>
        <w:pStyle w:val="ConsPlusNormal"/>
        <w:tabs>
          <w:tab w:val="left" w:pos="3381"/>
        </w:tabs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Pr="00533525" w:rsidRDefault="005968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33525" w:rsidRDefault="00596856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к </w:t>
      </w:r>
      <w:r w:rsidR="00533525">
        <w:rPr>
          <w:rFonts w:ascii="Times New Roman" w:hAnsi="Times New Roman" w:cs="Times New Roman"/>
          <w:sz w:val="28"/>
          <w:szCs w:val="28"/>
        </w:rPr>
        <w:t>Порядку проведения анализа</w:t>
      </w: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муниципального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Пестравский Самарской области</w:t>
      </w:r>
    </w:p>
    <w:p w:rsidR="00533525" w:rsidRDefault="00533525" w:rsidP="0053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96856" w:rsidRPr="00533525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56" w:rsidRPr="00533525">
        <w:rPr>
          <w:rFonts w:ascii="Times New Roman" w:hAnsi="Times New Roman" w:cs="Times New Roman"/>
          <w:sz w:val="28"/>
          <w:szCs w:val="28"/>
        </w:rPr>
        <w:t>контроля</w:t>
      </w:r>
    </w:p>
    <w:p w:rsidR="00533525" w:rsidRPr="00533525" w:rsidRDefault="00596856" w:rsidP="0053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  <w:r w:rsidR="0053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и внутреннего финансового</w:t>
      </w:r>
      <w:r w:rsidR="00533525"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аудита</w:t>
      </w:r>
    </w:p>
    <w:p w:rsidR="00596856" w:rsidRPr="00533525" w:rsidRDefault="005968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856" w:rsidRPr="00533525" w:rsidRDefault="00596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533525">
        <w:rPr>
          <w:rFonts w:ascii="Times New Roman" w:hAnsi="Times New Roman" w:cs="Times New Roman"/>
          <w:sz w:val="28"/>
          <w:szCs w:val="28"/>
        </w:rPr>
        <w:t>КРИТЕРИИ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КАЧЕСТВА ОСУЩЕСТВЛЕНИЯ ГЛАВНЫМИ АДМИНИСТРАТОРАМИ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(АДМИНИСТРАТОРАМИ) БЮДЖЕТНЫХ СРЕДСТВ </w:t>
      </w:r>
      <w:proofErr w:type="gramStart"/>
      <w:r w:rsidRPr="00533525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596856" w:rsidRDefault="00596856">
      <w:pPr>
        <w:pStyle w:val="ConsPlusNormal"/>
        <w:jc w:val="both"/>
      </w:pPr>
    </w:p>
    <w:p w:rsidR="00596856" w:rsidRDefault="00596856">
      <w:pPr>
        <w:sectPr w:rsidR="00596856" w:rsidSect="00552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3231"/>
        <w:gridCol w:w="2438"/>
        <w:gridCol w:w="850"/>
        <w:gridCol w:w="1077"/>
        <w:gridCol w:w="3005"/>
      </w:tblGrid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31" w:type="dxa"/>
          </w:tcPr>
          <w:p w:rsidR="00596856" w:rsidRDefault="00596856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 xml:space="preserve">Баллы </w:t>
            </w:r>
            <w:hyperlink w:anchor="P6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96856" w:rsidRDefault="00596856">
            <w:pPr>
              <w:pStyle w:val="ConsPlusNormal"/>
              <w:jc w:val="center"/>
            </w:pPr>
            <w:r>
              <w:t xml:space="preserve">Отметка </w:t>
            </w:r>
            <w:hyperlink w:anchor="P6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05" w:type="dxa"/>
          </w:tcPr>
          <w:p w:rsidR="00596856" w:rsidRDefault="00596856">
            <w:pPr>
              <w:pStyle w:val="ConsPlusNormal"/>
              <w:jc w:val="center"/>
            </w:pPr>
            <w:r>
              <w:t>Источники информации для расчета показателей</w:t>
            </w:r>
          </w:p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" w:name="P78"/>
            <w:bookmarkEnd w:id="2"/>
            <w:r>
              <w:t>1.1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Определены ли должностными регламентами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Должностные регламенты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определены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" w:name="P93"/>
            <w:bookmarkEnd w:id="3"/>
            <w:r>
              <w:t>1.2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карт внутреннего финансового контроля следующие требования:</w:t>
            </w:r>
          </w:p>
          <w:p w:rsidR="00596856" w:rsidRDefault="00596856">
            <w:pPr>
              <w:pStyle w:val="ConsPlusNormal"/>
              <w:ind w:left="283"/>
            </w:pPr>
            <w:r>
              <w:t>1) порядок формирования;</w:t>
            </w:r>
          </w:p>
          <w:p w:rsidR="00596856" w:rsidRDefault="00596856">
            <w:pPr>
              <w:pStyle w:val="ConsPlusNormal"/>
              <w:ind w:left="283"/>
            </w:pPr>
            <w:r>
              <w:t>2) порядок актуализации;</w:t>
            </w:r>
          </w:p>
          <w:p w:rsidR="00596856" w:rsidRDefault="00596856">
            <w:pPr>
              <w:pStyle w:val="ConsPlusNormal"/>
              <w:ind w:left="283"/>
            </w:pPr>
            <w:r>
              <w:t>3) порядок утверждения.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утвержден и содержит одно требование </w:t>
            </w:r>
            <w:r>
              <w:lastRenderedPageBreak/>
              <w:t>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" w:name="P111"/>
            <w:bookmarkEnd w:id="4"/>
            <w:r>
              <w:t>1.3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1) порядок учета;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2) порядок хранения;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3) порядок хранения с применением автоматизированных информационных систем?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" w:name="P129"/>
            <w:bookmarkEnd w:id="5"/>
            <w:r>
              <w:t>1.4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6" w:name="P138"/>
            <w:bookmarkEnd w:id="6"/>
            <w:r>
              <w:t>1.5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Утвержден ли главным администратором </w:t>
            </w:r>
            <w:r>
              <w:lastRenderedPageBreak/>
              <w:t>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lastRenderedPageBreak/>
              <w:t>Утвержден</w:t>
            </w:r>
            <w:proofErr w:type="gramEnd"/>
            <w:r>
              <w:t xml:space="preserve"> и установлен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главного администратора </w:t>
            </w:r>
            <w:r>
              <w:lastRenderedPageBreak/>
              <w:t>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и установлен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7" w:name="P150"/>
            <w:bookmarkEnd w:id="7"/>
            <w:r>
              <w:t>1.6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определены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8" w:name="P165"/>
            <w:bookmarkEnd w:id="8"/>
            <w:r>
              <w:t>1.7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плана аудиторских проверок следующие требования: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1) порядок составления;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2) порядок утверждения;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3) порядок ведения?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утвержден и содержит </w:t>
            </w:r>
            <w:r>
              <w:lastRenderedPageBreak/>
              <w:t>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9" w:name="P183"/>
            <w:bookmarkEnd w:id="9"/>
            <w:r>
              <w:t>1.8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аудиторских проверок следующие требования:</w:t>
            </w:r>
          </w:p>
          <w:p w:rsidR="00596856" w:rsidRDefault="00596856">
            <w:pPr>
              <w:pStyle w:val="ConsPlusNormal"/>
              <w:jc w:val="both"/>
            </w:pPr>
            <w:r>
              <w:t>1) предельные сроки проведения аудиторских проверок;</w:t>
            </w:r>
          </w:p>
          <w:p w:rsidR="00596856" w:rsidRDefault="00596856">
            <w:pPr>
              <w:pStyle w:val="ConsPlusNormal"/>
            </w:pPr>
            <w:r>
              <w:t>2) основания для их приостановления;</w:t>
            </w:r>
          </w:p>
          <w:p w:rsidR="00596856" w:rsidRDefault="00596856">
            <w:pPr>
              <w:pStyle w:val="ConsPlusNormal"/>
            </w:pPr>
            <w:r>
              <w:t>3) основания для их продления?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0" w:name="P201"/>
            <w:bookmarkEnd w:id="10"/>
            <w:r>
              <w:t>1.9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акта аудиторской проверки следующие требования:</w:t>
            </w:r>
          </w:p>
          <w:p w:rsidR="00596856" w:rsidRDefault="00596856">
            <w:pPr>
              <w:pStyle w:val="ConsPlusNormal"/>
              <w:jc w:val="both"/>
            </w:pPr>
            <w:r>
              <w:t>1) форма акта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r>
              <w:t>2) порядок направления акта;</w:t>
            </w:r>
          </w:p>
          <w:p w:rsidR="00596856" w:rsidRDefault="00596856">
            <w:pPr>
              <w:pStyle w:val="ConsPlusNormal"/>
              <w:jc w:val="both"/>
            </w:pPr>
            <w:r>
              <w:lastRenderedPageBreak/>
              <w:t>3) сроки его рассмотрения?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</w:t>
            </w:r>
            <w:r>
              <w:lastRenderedPageBreak/>
              <w:t>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1" w:name="P219"/>
            <w:bookmarkEnd w:id="11"/>
            <w:r>
              <w:t>1.10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>
              <w:t>аудита</w:t>
            </w:r>
            <w:proofErr w:type="gramEnd"/>
            <w:r>
              <w:t xml:space="preserve"> следующие требования:</w:t>
            </w:r>
          </w:p>
          <w:p w:rsidR="00596856" w:rsidRDefault="00596856">
            <w:pPr>
              <w:pStyle w:val="ConsPlusNormal"/>
              <w:ind w:left="283"/>
            </w:pPr>
            <w:r>
              <w:t>1) порядок составления;</w:t>
            </w:r>
          </w:p>
          <w:p w:rsidR="00596856" w:rsidRDefault="00596856">
            <w:pPr>
              <w:pStyle w:val="ConsPlusNormal"/>
              <w:ind w:left="283"/>
            </w:pPr>
            <w:r>
              <w:t>2) порядок представления?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2" w:name="P235"/>
            <w:bookmarkEnd w:id="12"/>
            <w:r>
              <w:t>2.1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Положения о структурных подразделениях главного администратора (администратора) бюджетных средств, ответственных за </w:t>
            </w:r>
            <w:r>
              <w:lastRenderedPageBreak/>
              <w:t>результаты выполнения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не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3" w:name="P251"/>
            <w:bookmarkEnd w:id="13"/>
            <w:r>
              <w:lastRenderedPageBreak/>
              <w:t>2.2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Оцениваются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Оцениваются не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оцениваются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4" w:name="P264"/>
            <w:bookmarkEnd w:id="14"/>
            <w:r>
              <w:t>2.3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596856" w:rsidRDefault="00596856">
            <w:pPr>
              <w:pStyle w:val="ConsPlusNormal"/>
              <w:jc w:val="both"/>
            </w:pPr>
            <w:bookmarkStart w:id="15" w:name="P266"/>
            <w:bookmarkEnd w:id="15"/>
            <w:r>
              <w:t>1) актуализация проведена до начала очередного финансового года;</w:t>
            </w:r>
          </w:p>
          <w:p w:rsidR="00596856" w:rsidRDefault="00596856">
            <w:pPr>
              <w:pStyle w:val="ConsPlusNormal"/>
              <w:jc w:val="both"/>
            </w:pPr>
            <w:bookmarkStart w:id="16" w:name="P267"/>
            <w:bookmarkEnd w:id="16"/>
            <w:r>
              <w:t xml:space="preserve">2) актуализация проведена при принятии решения </w:t>
            </w:r>
            <w:r>
              <w:lastRenderedPageBreak/>
              <w:t>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bookmarkStart w:id="17" w:name="P268"/>
            <w:bookmarkEnd w:id="17"/>
            <w: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Нарушения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Правовые документы главного администратора (администратора) бюджетных средств, утверждающие карты внутреннего финансового </w:t>
            </w:r>
            <w:r>
              <w:lastRenderedPageBreak/>
              <w:t>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Имеется единичный случай нарушения </w:t>
            </w:r>
            <w:hyperlink w:anchor="P266" w:history="1">
              <w:r>
                <w:rPr>
                  <w:color w:val="0000FF"/>
                </w:rPr>
                <w:t>требований 1)</w:t>
              </w:r>
            </w:hyperlink>
            <w:r>
              <w:t xml:space="preserve">, </w:t>
            </w:r>
            <w:hyperlink w:anchor="P267" w:history="1">
              <w:r>
                <w:rPr>
                  <w:color w:val="0000FF"/>
                </w:rPr>
                <w:t>2)</w:t>
              </w:r>
            </w:hyperlink>
            <w:r>
              <w:t xml:space="preserve"> или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Имеются не более трех случаев нарушения </w:t>
            </w:r>
            <w:hyperlink w:anchor="P266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267" w:history="1">
              <w:r>
                <w:rPr>
                  <w:color w:val="0000FF"/>
                </w:rPr>
                <w:t>2)</w:t>
              </w:r>
            </w:hyperlink>
            <w:r>
              <w:t xml:space="preserve"> или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множественные случаи нарушений </w:t>
            </w:r>
            <w:hyperlink w:anchor="P266" w:history="1">
              <w:r>
                <w:rPr>
                  <w:color w:val="0000FF"/>
                </w:rPr>
                <w:t>условий 1)</w:t>
              </w:r>
            </w:hyperlink>
            <w:r>
              <w:t xml:space="preserve"> -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8" w:name="P283"/>
            <w:bookmarkEnd w:id="18"/>
            <w:r>
              <w:lastRenderedPageBreak/>
              <w:t>2.4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Утверждены карты всех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Утверждены карты большинства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утверждены карты нескольких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утверждены карты всех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9" w:name="P299"/>
            <w:bookmarkEnd w:id="19"/>
            <w:r>
              <w:t>2.5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Указываются ли в картах внутреннего финансового контроля по каждому </w:t>
            </w:r>
            <w:r>
              <w:lastRenderedPageBreak/>
              <w:t>отражаемому в нем предмету внутреннего финансового контроля следующие данные:</w:t>
            </w:r>
          </w:p>
          <w:p w:rsidR="00596856" w:rsidRDefault="00596856">
            <w:pPr>
              <w:pStyle w:val="ConsPlusNormal"/>
              <w:jc w:val="both"/>
            </w:pPr>
            <w:r>
              <w:t>1) должностное лицо, ответственное за выполнение операции;</w:t>
            </w:r>
          </w:p>
          <w:p w:rsidR="00596856" w:rsidRDefault="00596856">
            <w:pPr>
              <w:pStyle w:val="ConsPlusNormal"/>
              <w:jc w:val="both"/>
            </w:pPr>
            <w:r>
              <w:t>2) периодичность выполнения операции;</w:t>
            </w:r>
          </w:p>
          <w:p w:rsidR="00596856" w:rsidRDefault="00596856">
            <w:pPr>
              <w:pStyle w:val="ConsPlusNormal"/>
              <w:jc w:val="both"/>
            </w:pPr>
            <w:r>
              <w:t>3) должностные лица, осуществляющие контрольные действия;</w:t>
            </w:r>
          </w:p>
          <w:p w:rsidR="00596856" w:rsidRDefault="00596856">
            <w:pPr>
              <w:pStyle w:val="ConsPlusNormal"/>
              <w:jc w:val="both"/>
            </w:pPr>
            <w:r>
              <w:t>4) методы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5) периодичность контрольных действий?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 xml:space="preserve">Требования настоящего пункта выполнены всеми ответственными </w:t>
            </w:r>
            <w:r>
              <w:lastRenderedPageBreak/>
              <w:t>подразделениями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Карты внутреннего финансового контроля подразделений главного </w:t>
            </w:r>
            <w:r>
              <w:lastRenderedPageBreak/>
              <w:t>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0" w:name="P319"/>
            <w:bookmarkEnd w:id="20"/>
            <w:r>
              <w:t>2.6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1" w:name="P328"/>
            <w:bookmarkEnd w:id="21"/>
            <w:r>
              <w:t>2.7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596856" w:rsidRDefault="00596856">
            <w:pPr>
              <w:pStyle w:val="ConsPlusNormal"/>
              <w:jc w:val="both"/>
            </w:pPr>
            <w:bookmarkStart w:id="22" w:name="P330"/>
            <w:bookmarkEnd w:id="22"/>
            <w:r>
              <w:t>1) тема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3" w:name="P331"/>
            <w:bookmarkEnd w:id="23"/>
            <w:r>
              <w:t>2) объекты аудита;</w:t>
            </w:r>
          </w:p>
          <w:p w:rsidR="00596856" w:rsidRDefault="00596856">
            <w:pPr>
              <w:pStyle w:val="ConsPlusNormal"/>
              <w:jc w:val="both"/>
            </w:pPr>
            <w:bookmarkStart w:id="24" w:name="P332"/>
            <w:bookmarkEnd w:id="24"/>
            <w:r>
              <w:lastRenderedPageBreak/>
              <w:t>3) срок проведения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5" w:name="P333"/>
            <w:bookmarkEnd w:id="25"/>
            <w:r>
              <w:t>4) ответственные исполнители?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lastRenderedPageBreak/>
              <w:t xml:space="preserve">Указаны все </w:t>
            </w:r>
            <w:hyperlink w:anchor="P330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333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Годовой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 xml:space="preserve">Указаны </w:t>
            </w:r>
            <w:hyperlink w:anchor="P330" w:history="1">
              <w:r>
                <w:rPr>
                  <w:color w:val="0000FF"/>
                </w:rPr>
                <w:t>требования 1)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3)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proofErr w:type="gramStart"/>
            <w:r>
              <w:t xml:space="preserve">Указаны </w:t>
            </w:r>
            <w:hyperlink w:anchor="P330" w:history="1">
              <w:r>
                <w:rPr>
                  <w:color w:val="0000FF"/>
                </w:rPr>
                <w:t>требования 1)</w:t>
              </w:r>
            </w:hyperlink>
            <w:r>
              <w:t xml:space="preserve"> - </w:t>
            </w:r>
            <w:hyperlink w:anchor="P331" w:history="1">
              <w:r>
                <w:rPr>
                  <w:color w:val="0000FF"/>
                </w:rPr>
                <w:t>2</w:t>
              </w:r>
            </w:hyperlink>
            <w:r>
              <w:t>)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6" w:name="P347"/>
            <w:bookmarkEnd w:id="26"/>
            <w:r>
              <w:t>2.8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да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7" w:name="P356"/>
            <w:bookmarkEnd w:id="27"/>
            <w:r>
              <w:t>2.9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Осуществлены ли следующие действия в рамках подготовки к проведению аудиторской проверки:</w:t>
            </w:r>
          </w:p>
          <w:p w:rsidR="00596856" w:rsidRDefault="00596856">
            <w:pPr>
              <w:pStyle w:val="ConsPlusNormal"/>
              <w:jc w:val="both"/>
            </w:pPr>
            <w:bookmarkStart w:id="28" w:name="P358"/>
            <w:bookmarkEnd w:id="28"/>
            <w:r>
              <w:t>1) утверждение программы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9" w:name="P359"/>
            <w:bookmarkEnd w:id="29"/>
            <w:r>
              <w:t>2) формирование аудиторской группы?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 xml:space="preserve">Осуществлены </w:t>
            </w:r>
            <w:hyperlink w:anchor="P358" w:history="1">
              <w:r>
                <w:rPr>
                  <w:color w:val="0000FF"/>
                </w:rPr>
                <w:t>действия 1)</w:t>
              </w:r>
            </w:hyperlink>
            <w:r>
              <w:t xml:space="preserve"> - </w:t>
            </w:r>
            <w:hyperlink w:anchor="P359" w:history="1">
              <w:r>
                <w:rPr>
                  <w:color w:val="0000FF"/>
                </w:rPr>
                <w:t>2)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Утвержденная руководителем субъекта внутреннего финансового аудита программа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proofErr w:type="gramStart"/>
            <w:r>
              <w:t xml:space="preserve">Осуществлены </w:t>
            </w:r>
            <w:hyperlink w:anchor="P358" w:history="1">
              <w:r>
                <w:rPr>
                  <w:color w:val="0000FF"/>
                </w:rPr>
                <w:t>действия 1</w:t>
              </w:r>
            </w:hyperlink>
            <w:r>
              <w:t>) настоящего пункта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0" w:name="P371"/>
            <w:bookmarkEnd w:id="30"/>
            <w:r>
              <w:t>2.10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Содержат ли программы аудиторских проверок</w:t>
            </w:r>
          </w:p>
          <w:p w:rsidR="00596856" w:rsidRDefault="00596856">
            <w:pPr>
              <w:pStyle w:val="ConsPlusNormal"/>
            </w:pPr>
            <w:r>
              <w:t>следующие данные:</w:t>
            </w:r>
          </w:p>
          <w:p w:rsidR="00596856" w:rsidRDefault="00596856">
            <w:pPr>
              <w:pStyle w:val="ConsPlusNormal"/>
            </w:pPr>
            <w:bookmarkStart w:id="31" w:name="P374"/>
            <w:bookmarkEnd w:id="31"/>
            <w:r>
              <w:t>1) тема аудиторской проверки;</w:t>
            </w:r>
          </w:p>
          <w:p w:rsidR="00596856" w:rsidRDefault="00596856">
            <w:pPr>
              <w:pStyle w:val="ConsPlusNormal"/>
            </w:pPr>
            <w:r>
              <w:t>2) наименование объектов аудиторской проверки;</w:t>
            </w:r>
          </w:p>
          <w:p w:rsidR="00596856" w:rsidRDefault="00596856">
            <w:pPr>
              <w:pStyle w:val="ConsPlusNormal"/>
            </w:pPr>
            <w:r>
              <w:t>3) перечень вопросов, подлежащих изучению в ходе аудиторской проверки;</w:t>
            </w:r>
          </w:p>
          <w:p w:rsidR="00596856" w:rsidRDefault="00596856">
            <w:pPr>
              <w:pStyle w:val="ConsPlusNormal"/>
            </w:pPr>
            <w:bookmarkStart w:id="32" w:name="P377"/>
            <w:bookmarkEnd w:id="32"/>
            <w:r>
              <w:lastRenderedPageBreak/>
              <w:t>4) сроки проведения аудиторской проверки?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 xml:space="preserve">Все программы содержат </w:t>
            </w:r>
            <w:hyperlink w:anchor="P374" w:history="1">
              <w:r>
                <w:rPr>
                  <w:color w:val="0000FF"/>
                </w:rPr>
                <w:t>данные 1)</w:t>
              </w:r>
            </w:hyperlink>
            <w:r>
              <w:t xml:space="preserve">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Большая часть программ содержит </w:t>
            </w:r>
            <w:hyperlink w:anchor="P374" w:history="1">
              <w:r>
                <w:rPr>
                  <w:color w:val="0000FF"/>
                </w:rPr>
                <w:t>данные 1</w:t>
              </w:r>
            </w:hyperlink>
            <w:r>
              <w:t xml:space="preserve">)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Программы аудиторских проверок содержат не все </w:t>
            </w:r>
            <w:hyperlink w:anchor="P374" w:history="1">
              <w:r>
                <w:rPr>
                  <w:color w:val="0000FF"/>
                </w:rPr>
                <w:t>данные 1)</w:t>
              </w:r>
            </w:hyperlink>
            <w:r>
              <w:t xml:space="preserve">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3" w:name="P393"/>
            <w:bookmarkEnd w:id="33"/>
            <w:r>
              <w:t>3.1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  <w: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90%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75%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45%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4" w:name="P412"/>
            <w:bookmarkEnd w:id="34"/>
            <w:r>
              <w:t>3.2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5" w:name="P414"/>
            <w:bookmarkEnd w:id="35"/>
            <w:r>
              <w:t>1) периодичности,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6" w:name="P415"/>
            <w:bookmarkEnd w:id="36"/>
            <w:r>
              <w:t>2) методов контроля,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7" w:name="P416"/>
            <w:bookmarkEnd w:id="37"/>
            <w:r>
              <w:t>3) способов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Несоблюдение требований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Отчеты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Имеется единичный случай несоблюдения </w:t>
            </w:r>
            <w:hyperlink w:anchor="P414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или </w:t>
            </w:r>
            <w:hyperlink w:anchor="P416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Имеется не более трех случаев несоблюдения </w:t>
            </w:r>
            <w:hyperlink w:anchor="P414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или </w:t>
            </w:r>
            <w:hyperlink w:anchor="P416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Имеются множественные случаи несоблюдения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6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8" w:name="P431"/>
            <w:bookmarkEnd w:id="38"/>
            <w:r>
              <w:t>3.3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Выполнены ли следующие требования к ведению регистров (журналов)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lastRenderedPageBreak/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регистры содержат сведения о предполагаемых мерах по их устранению?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Выполнены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6" w:history="1">
              <w:r>
                <w:rPr>
                  <w:color w:val="0000FF"/>
                </w:rPr>
                <w:t>3</w:t>
              </w:r>
            </w:hyperlink>
            <w:r>
              <w:t>)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Выполнены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настоящего пункта в полном </w:t>
            </w:r>
            <w:r>
              <w:lastRenderedPageBreak/>
              <w:t>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CD7598">
            <w:pPr>
              <w:pStyle w:val="ConsPlusNormal"/>
              <w:jc w:val="both"/>
            </w:pPr>
            <w:hyperlink w:anchor="P414" w:history="1">
              <w:proofErr w:type="gramStart"/>
              <w:r w:rsidR="00596856">
                <w:rPr>
                  <w:color w:val="0000FF"/>
                </w:rPr>
                <w:t>Требования 1</w:t>
              </w:r>
            </w:hyperlink>
            <w:r w:rsidR="00596856">
              <w:t>) - 4) не выполнены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9" w:name="P449"/>
            <w:bookmarkEnd w:id="39"/>
            <w:r>
              <w:t>3.4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Регистры (журналы)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0" w:name="P465"/>
            <w:bookmarkEnd w:id="40"/>
            <w:r>
              <w:t>3.5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1" w:name="P480"/>
            <w:bookmarkEnd w:id="41"/>
            <w:r>
              <w:t>3.6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Приняты соответствующие решения с указанием сроков выполнения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</w:t>
            </w:r>
            <w:r>
              <w:lastRenderedPageBreak/>
              <w:t>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Отчеты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Приняты соответствующие </w:t>
            </w:r>
            <w:r>
              <w:lastRenderedPageBreak/>
              <w:t>решения без указания сроков выполнения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Решения не </w:t>
            </w:r>
            <w:proofErr w:type="gramStart"/>
            <w:r>
              <w:t>принята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2" w:name="P493"/>
            <w:bookmarkEnd w:id="42"/>
            <w:r>
              <w:t>3.7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596856" w:rsidRDefault="00596856">
            <w:pPr>
              <w:pStyle w:val="ConsPlusNormal"/>
              <w:jc w:val="both"/>
            </w:pPr>
            <w:bookmarkStart w:id="43" w:name="P495"/>
            <w:bookmarkEnd w:id="43"/>
            <w: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bookmarkStart w:id="44" w:name="P496"/>
            <w:bookmarkEnd w:id="44"/>
            <w:r>
              <w:t>2) информация, указанная в отчетах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Учтена </w:t>
            </w:r>
            <w:hyperlink w:anchor="P495" w:history="1">
              <w:r>
                <w:rPr>
                  <w:color w:val="0000FF"/>
                </w:rPr>
                <w:t>информация 1)</w:t>
              </w:r>
            </w:hyperlink>
            <w:r>
              <w:t xml:space="preserve"> - </w:t>
            </w:r>
            <w:hyperlink w:anchor="P496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Учтена </w:t>
            </w:r>
            <w:hyperlink w:anchor="P495" w:history="1">
              <w:r>
                <w:rPr>
                  <w:color w:val="0000FF"/>
                </w:rPr>
                <w:t>информация 1)</w:t>
              </w:r>
            </w:hyperlink>
            <w:r>
              <w:t xml:space="preserve"> или </w:t>
            </w:r>
            <w:hyperlink w:anchor="P496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CD7598">
            <w:pPr>
              <w:pStyle w:val="ConsPlusNormal"/>
              <w:jc w:val="both"/>
            </w:pPr>
            <w:hyperlink w:anchor="P495" w:history="1">
              <w:r w:rsidR="00596856">
                <w:rPr>
                  <w:color w:val="0000FF"/>
                </w:rPr>
                <w:t>Информация 1)</w:t>
              </w:r>
            </w:hyperlink>
            <w:r w:rsidR="00596856">
              <w:t xml:space="preserve"> - </w:t>
            </w:r>
            <w:hyperlink w:anchor="P496" w:history="1">
              <w:r w:rsidR="00596856">
                <w:rPr>
                  <w:color w:val="0000FF"/>
                </w:rPr>
                <w:t>2)</w:t>
              </w:r>
            </w:hyperlink>
            <w:r w:rsidR="00596856">
              <w:t xml:space="preserve"> не учтена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5" w:name="P508"/>
            <w:bookmarkEnd w:id="45"/>
            <w:r>
              <w:t>3.8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>
              <w:t>дств сл</w:t>
            </w:r>
            <w:proofErr w:type="gramEnd"/>
            <w:r>
              <w:t>едующие требования в отношении отчетности о результатах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</w:pPr>
            <w:bookmarkStart w:id="46" w:name="P510"/>
            <w:bookmarkEnd w:id="46"/>
            <w:r>
              <w:t>1) периодичность представления;</w:t>
            </w:r>
          </w:p>
          <w:p w:rsidR="00596856" w:rsidRDefault="00596856">
            <w:pPr>
              <w:pStyle w:val="ConsPlusNormal"/>
              <w:ind w:left="283"/>
            </w:pPr>
            <w:bookmarkStart w:id="47" w:name="P511"/>
            <w:bookmarkEnd w:id="47"/>
            <w:r>
              <w:t xml:space="preserve">2) своевременность </w:t>
            </w:r>
            <w:r>
              <w:lastRenderedPageBreak/>
              <w:t>представления?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Отчетность подразделений главного администратора (администратора) бюджетных средств о результатах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Правовой документ главного администратора (администратора) бюджетных средств, устанавливающий порядок составления отчетности о результатах </w:t>
            </w:r>
            <w:r>
              <w:lastRenderedPageBreak/>
              <w:t>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единичные случаи нарушения </w:t>
            </w:r>
            <w:hyperlink w:anchor="P510" w:history="1">
              <w:r>
                <w:rPr>
                  <w:color w:val="0000FF"/>
                </w:rPr>
                <w:t>требований 1)</w:t>
              </w:r>
            </w:hyperlink>
            <w:r>
              <w:t xml:space="preserve"> или </w:t>
            </w:r>
            <w:hyperlink w:anchor="P511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множественные случаи нарушения </w:t>
            </w:r>
            <w:hyperlink w:anchor="P510" w:history="1">
              <w:r>
                <w:rPr>
                  <w:color w:val="0000FF"/>
                </w:rPr>
                <w:t xml:space="preserve">требований </w:t>
              </w:r>
              <w:r>
                <w:rPr>
                  <w:color w:val="0000FF"/>
                </w:rPr>
                <w:lastRenderedPageBreak/>
                <w:t>1)</w:t>
              </w:r>
            </w:hyperlink>
            <w:r>
              <w:t xml:space="preserve"> и (или) </w:t>
            </w:r>
            <w:hyperlink w:anchor="P511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не выполняются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8" w:name="P526"/>
            <w:bookmarkEnd w:id="48"/>
            <w:r>
              <w:t>3.9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Случаи необеспечения функциональной независимости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</w:t>
            </w:r>
          </w:p>
          <w:p w:rsidR="00596856" w:rsidRDefault="00596856">
            <w:pPr>
              <w:pStyle w:val="ConsPlusNormal"/>
              <w:jc w:val="both"/>
            </w:pPr>
            <w: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необеспечения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необеспечения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необеспечения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9" w:name="P542"/>
            <w:bookmarkEnd w:id="49"/>
            <w:r>
              <w:t>3.10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</w:t>
            </w:r>
            <w:r>
              <w:lastRenderedPageBreak/>
              <w:t>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Случаи отклонения от плана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Утвержденный руководителем главного администратора (администратора) бюджетных средств годовой план внутреннего финансового аудита;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Сведения о результатах </w:t>
            </w:r>
            <w:r>
              <w:lastRenderedPageBreak/>
              <w:t>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отклонения от 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отклонения от </w:t>
            </w:r>
            <w:r>
              <w:lastRenderedPageBreak/>
              <w:t>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отклонения от 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0" w:name="P558"/>
            <w:bookmarkEnd w:id="50"/>
            <w:r>
              <w:t>3.11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596856" w:rsidRDefault="00596856">
            <w:pPr>
              <w:pStyle w:val="ConsPlusNormal"/>
              <w:jc w:val="both"/>
            </w:pPr>
            <w:r>
              <w:t>Сведения о результатах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1" w:name="P574"/>
            <w:bookmarkEnd w:id="51"/>
            <w:r>
              <w:lastRenderedPageBreak/>
              <w:t>3.12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при осуществлен</w:t>
            </w:r>
            <w:proofErr w:type="gramStart"/>
            <w:r>
              <w:t>ии ау</w:t>
            </w:r>
            <w:proofErr w:type="gramEnd"/>
            <w: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Случаи отклонения от программ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Утвержденные программы аудиторских проверок;</w:t>
            </w:r>
          </w:p>
          <w:p w:rsidR="00596856" w:rsidRDefault="00596856">
            <w:pPr>
              <w:pStyle w:val="ConsPlusNormal"/>
              <w:jc w:val="both"/>
            </w:pPr>
            <w:r>
              <w:t>Сведения о результатах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2" w:name="P590"/>
            <w:bookmarkEnd w:id="52"/>
            <w:r>
              <w:t>3.13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Осуществляется ли документирование проведения аудиторских проверок?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по всем проверкам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не по всем проверкам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>
            <w:bookmarkStart w:id="53" w:name="P602"/>
            <w:bookmarkEnd w:id="53"/>
          </w:p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нарушения сроков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нарушения сроков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</w:tbl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ind w:firstLine="540"/>
        <w:jc w:val="both"/>
      </w:pPr>
      <w:r>
        <w:t>--------------------------------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4" w:name="P667"/>
      <w:bookmarkEnd w:id="54"/>
      <w:r>
        <w:t>&lt;1&gt; Максимальное количество баллов - 120 баллов, из них: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lastRenderedPageBreak/>
        <w:t>- качество нормативно-правового обеспечения осуществления внутреннего финансового контроля - 32 баллов;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t>- качество подготовки к проведению внутреннего финансового контроля - 28 баллов;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t>- качество организации и осуществления внутреннего финансового контроля - 60 баллов.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5" w:name="P671"/>
      <w:bookmarkEnd w:id="55"/>
      <w:r>
        <w:t>&lt;2&gt; Соответствующий ответ отмечается галочкой (V).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6" w:name="P672"/>
      <w:bookmarkEnd w:id="56"/>
      <w:r>
        <w:t xml:space="preserve">&lt;3&gt; </w:t>
      </w:r>
      <w:hyperlink r:id="rId9" w:history="1">
        <w:r>
          <w:rPr>
            <w:color w:val="0000FF"/>
          </w:rPr>
          <w:t>Пункт 5 статьи 160.2-1</w:t>
        </w:r>
      </w:hyperlink>
      <w:r>
        <w:t xml:space="preserve"> Бюджетного кодекса Российской Федерации.</w:t>
      </w: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1B07B2" w:rsidRDefault="001B07B2" w:rsidP="009629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96D" w:rsidRPr="00533525" w:rsidRDefault="0096296D" w:rsidP="009629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анализа</w:t>
      </w: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муниципального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Пестравский Самарской области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контроля</w:t>
      </w:r>
    </w:p>
    <w:p w:rsidR="0096296D" w:rsidRPr="00533525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и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аудита</w:t>
      </w:r>
    </w:p>
    <w:p w:rsidR="00596856" w:rsidRDefault="00596856">
      <w:pPr>
        <w:pStyle w:val="ConsPlusNormal"/>
        <w:jc w:val="right"/>
      </w:pPr>
    </w:p>
    <w:p w:rsidR="00596856" w:rsidRDefault="00596856">
      <w:pPr>
        <w:pStyle w:val="ConsPlusNormal"/>
        <w:jc w:val="both"/>
      </w:pP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686"/>
      <w:bookmarkEnd w:id="57"/>
      <w:r w:rsidRPr="00C6543E">
        <w:rPr>
          <w:rFonts w:ascii="Times New Roman" w:hAnsi="Times New Roman" w:cs="Times New Roman"/>
          <w:sz w:val="28"/>
          <w:szCs w:val="28"/>
        </w:rPr>
        <w:t>Результаты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оценки качества внутреннего финансового контроля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за ____ год</w:t>
      </w:r>
    </w:p>
    <w:p w:rsidR="00596856" w:rsidRDefault="00596856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96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856" w:rsidRDefault="00596856">
            <w:pPr>
              <w:pStyle w:val="ConsPlusNormal"/>
              <w:jc w:val="both"/>
            </w:pPr>
          </w:p>
        </w:tc>
      </w:tr>
    </w:tbl>
    <w:p w:rsidR="00596856" w:rsidRDefault="005968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63"/>
        <w:gridCol w:w="1104"/>
        <w:gridCol w:w="794"/>
        <w:gridCol w:w="907"/>
      </w:tblGrid>
      <w:tr w:rsidR="00596856">
        <w:tc>
          <w:tcPr>
            <w:tcW w:w="1077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Код главного администратора бюджетных средств по БК</w:t>
            </w:r>
          </w:p>
        </w:tc>
        <w:tc>
          <w:tcPr>
            <w:tcW w:w="16375" w:type="dxa"/>
            <w:gridSpan w:val="37"/>
          </w:tcPr>
          <w:p w:rsidR="00596856" w:rsidRDefault="00596856">
            <w:pPr>
              <w:pStyle w:val="ConsPlusNormal"/>
              <w:jc w:val="center"/>
            </w:pPr>
            <w:r>
              <w:t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      </w:r>
          </w:p>
        </w:tc>
        <w:tc>
          <w:tcPr>
            <w:tcW w:w="1104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r>
              <w:t xml:space="preserve">Итоговая оценка (сумма значений в </w:t>
            </w:r>
            <w:hyperlink w:anchor="P741" w:history="1">
              <w:r>
                <w:rPr>
                  <w:color w:val="0000FF"/>
                </w:rPr>
                <w:t>графах 2</w:t>
              </w:r>
            </w:hyperlink>
            <w:r>
              <w:t xml:space="preserve"> + </w:t>
            </w:r>
            <w:hyperlink w:anchor="P742" w:history="1">
              <w:r>
                <w:rPr>
                  <w:color w:val="0000FF"/>
                </w:rPr>
                <w:t>3</w:t>
              </w:r>
            </w:hyperlink>
            <w:r>
              <w:t xml:space="preserve"> + ... </w:t>
            </w:r>
            <w:hyperlink w:anchor="P777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596856" w:rsidRDefault="00596856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  <w:r>
              <w:t>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4420" w:type="dxa"/>
            <w:gridSpan w:val="10"/>
          </w:tcPr>
          <w:p w:rsidR="00596856" w:rsidRDefault="00596856">
            <w:pPr>
              <w:pStyle w:val="ConsPlusNormal"/>
              <w:jc w:val="center"/>
            </w:pPr>
            <w: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4420" w:type="dxa"/>
            <w:gridSpan w:val="10"/>
          </w:tcPr>
          <w:p w:rsidR="00596856" w:rsidRDefault="00596856">
            <w:pPr>
              <w:pStyle w:val="ConsPlusNormal"/>
              <w:jc w:val="center"/>
            </w:pPr>
            <w: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7535" w:type="dxa"/>
            <w:gridSpan w:val="17"/>
          </w:tcPr>
          <w:p w:rsidR="00D13BA5" w:rsidRDefault="00596856" w:rsidP="00D13BA5">
            <w:pPr>
              <w:pStyle w:val="ConsPlusNormal"/>
            </w:pPr>
            <w:r>
              <w:t xml:space="preserve">3. Качество организации и осуществления внутреннего </w:t>
            </w:r>
          </w:p>
          <w:p w:rsidR="00596856" w:rsidRDefault="00596856" w:rsidP="00D13BA5">
            <w:pPr>
              <w:pStyle w:val="ConsPlusNormal"/>
            </w:pPr>
            <w:r>
              <w:t>финансового контроля и внутреннего финансового аудита</w:t>
            </w:r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1701" w:type="dxa"/>
            <w:gridSpan w:val="2"/>
            <w:vMerge/>
          </w:tcPr>
          <w:p w:rsidR="00596856" w:rsidRDefault="00596856"/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78" w:history="1">
              <w:r w:rsidR="00596856">
                <w:rPr>
                  <w:color w:val="0000FF"/>
                </w:rPr>
                <w:t>1.1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93" w:history="1">
              <w:r w:rsidR="00596856">
                <w:rPr>
                  <w:color w:val="0000FF"/>
                </w:rPr>
                <w:t>1.2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111" w:history="1">
              <w:r w:rsidR="00596856">
                <w:rPr>
                  <w:color w:val="0000FF"/>
                </w:rPr>
                <w:t>1.3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129" w:history="1">
              <w:r w:rsidR="00596856">
                <w:rPr>
                  <w:color w:val="0000FF"/>
                </w:rPr>
                <w:t>1.4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138" w:history="1">
              <w:r w:rsidR="00596856">
                <w:rPr>
                  <w:color w:val="0000FF"/>
                </w:rPr>
                <w:t>1.5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150" w:history="1">
              <w:r w:rsidR="00596856">
                <w:rPr>
                  <w:color w:val="0000FF"/>
                </w:rPr>
                <w:t>1.6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165" w:history="1">
              <w:r w:rsidR="00596856">
                <w:rPr>
                  <w:color w:val="0000FF"/>
                </w:rPr>
                <w:t>1.7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183" w:history="1">
              <w:r w:rsidR="00596856">
                <w:rPr>
                  <w:color w:val="0000FF"/>
                </w:rPr>
                <w:t>1.8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201" w:history="1">
              <w:r w:rsidR="00596856">
                <w:rPr>
                  <w:color w:val="0000FF"/>
                </w:rPr>
                <w:t>1.9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219" w:history="1">
              <w:r w:rsidR="00596856">
                <w:rPr>
                  <w:color w:val="0000FF"/>
                </w:rPr>
                <w:t>1.10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235" w:history="1">
              <w:r w:rsidR="00596856">
                <w:rPr>
                  <w:color w:val="0000FF"/>
                </w:rPr>
                <w:t>2.1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251" w:history="1">
              <w:r w:rsidR="00596856">
                <w:rPr>
                  <w:color w:val="0000FF"/>
                </w:rPr>
                <w:t>2.2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264" w:history="1">
              <w:r w:rsidR="00596856">
                <w:rPr>
                  <w:color w:val="0000FF"/>
                </w:rPr>
                <w:t>2.3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283" w:history="1">
              <w:r w:rsidR="00596856">
                <w:rPr>
                  <w:color w:val="0000FF"/>
                </w:rPr>
                <w:t>2.4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299" w:history="1">
              <w:r w:rsidR="00596856">
                <w:rPr>
                  <w:color w:val="0000FF"/>
                </w:rPr>
                <w:t>2.5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319" w:history="1">
              <w:r w:rsidR="00596856">
                <w:rPr>
                  <w:color w:val="0000FF"/>
                </w:rPr>
                <w:t>2.6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328" w:history="1">
              <w:r w:rsidR="00596856">
                <w:rPr>
                  <w:color w:val="0000FF"/>
                </w:rPr>
                <w:t>2.7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347" w:history="1">
              <w:r w:rsidR="00596856">
                <w:rPr>
                  <w:color w:val="0000FF"/>
                </w:rPr>
                <w:t>2.8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356" w:history="1">
              <w:r w:rsidR="00596856">
                <w:rPr>
                  <w:color w:val="0000FF"/>
                </w:rPr>
                <w:t>2.9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371" w:history="1">
              <w:r w:rsidR="00596856">
                <w:rPr>
                  <w:color w:val="0000FF"/>
                </w:rPr>
                <w:t>2.10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393" w:history="1">
              <w:r w:rsidR="00596856">
                <w:rPr>
                  <w:color w:val="0000FF"/>
                </w:rPr>
                <w:t>3.1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412" w:history="1">
              <w:r w:rsidR="00596856">
                <w:rPr>
                  <w:color w:val="0000FF"/>
                </w:rPr>
                <w:t>3.2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431" w:history="1">
              <w:r w:rsidR="00596856">
                <w:rPr>
                  <w:color w:val="0000FF"/>
                </w:rPr>
                <w:t>3.3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449" w:history="1">
              <w:r w:rsidR="00596856">
                <w:rPr>
                  <w:color w:val="0000FF"/>
                </w:rPr>
                <w:t>3.4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465" w:history="1">
              <w:r w:rsidR="00596856">
                <w:rPr>
                  <w:color w:val="0000FF"/>
                </w:rPr>
                <w:t>3.5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480" w:history="1">
              <w:r w:rsidR="00596856">
                <w:rPr>
                  <w:color w:val="0000FF"/>
                </w:rPr>
                <w:t>3.6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493" w:history="1">
              <w:r w:rsidR="00596856">
                <w:rPr>
                  <w:color w:val="0000FF"/>
                </w:rPr>
                <w:t>3.7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508" w:history="1">
              <w:r w:rsidR="00596856">
                <w:rPr>
                  <w:color w:val="0000FF"/>
                </w:rPr>
                <w:t>3.8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526" w:history="1">
              <w:r w:rsidR="00596856">
                <w:rPr>
                  <w:color w:val="0000FF"/>
                </w:rPr>
                <w:t>3.9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542" w:history="1">
              <w:r w:rsidR="00596856">
                <w:rPr>
                  <w:color w:val="0000FF"/>
                </w:rPr>
                <w:t>3.10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558" w:history="1">
              <w:r w:rsidR="00596856">
                <w:rPr>
                  <w:color w:val="0000FF"/>
                </w:rPr>
                <w:t>3.11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574" w:history="1">
              <w:r w:rsidR="00596856">
                <w:rPr>
                  <w:color w:val="0000FF"/>
                </w:rPr>
                <w:t>3.12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590" w:history="1">
              <w:r w:rsidR="00596856">
                <w:rPr>
                  <w:color w:val="0000FF"/>
                </w:rPr>
                <w:t>3.13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602" w:history="1">
              <w:r w:rsidR="00596856">
                <w:rPr>
                  <w:color w:val="0000FF"/>
                </w:rPr>
                <w:t>3.14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614" w:history="1">
              <w:r w:rsidR="00596856">
                <w:rPr>
                  <w:color w:val="0000FF"/>
                </w:rPr>
                <w:t>3.15</w:t>
              </w:r>
            </w:hyperlink>
          </w:p>
        </w:tc>
        <w:tc>
          <w:tcPr>
            <w:tcW w:w="442" w:type="dxa"/>
          </w:tcPr>
          <w:p w:rsidR="00596856" w:rsidRDefault="00CD7598">
            <w:pPr>
              <w:pStyle w:val="ConsPlusNormal"/>
              <w:jc w:val="center"/>
            </w:pPr>
            <w:hyperlink w:anchor="P631" w:history="1">
              <w:r w:rsidR="00596856">
                <w:rPr>
                  <w:color w:val="0000FF"/>
                </w:rPr>
                <w:t>3.16</w:t>
              </w:r>
            </w:hyperlink>
          </w:p>
        </w:tc>
        <w:tc>
          <w:tcPr>
            <w:tcW w:w="463" w:type="dxa"/>
          </w:tcPr>
          <w:p w:rsidR="00596856" w:rsidRDefault="00CD7598">
            <w:pPr>
              <w:pStyle w:val="ConsPlusNormal"/>
              <w:jc w:val="center"/>
            </w:pPr>
            <w:hyperlink w:anchor="P652" w:history="1">
              <w:r w:rsidR="00596856">
                <w:rPr>
                  <w:color w:val="0000FF"/>
                </w:rPr>
                <w:t>3.17</w:t>
              </w:r>
            </w:hyperlink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1701" w:type="dxa"/>
            <w:gridSpan w:val="2"/>
            <w:vMerge/>
          </w:tcPr>
          <w:p w:rsidR="00596856" w:rsidRDefault="00596856"/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16375" w:type="dxa"/>
            <w:gridSpan w:val="37"/>
          </w:tcPr>
          <w:p w:rsidR="00596856" w:rsidRDefault="00596856">
            <w:pPr>
              <w:pStyle w:val="ConsPlusNormal"/>
              <w:jc w:val="center"/>
            </w:pPr>
            <w:r>
              <w:t>Проставляются баллы выбранных вариантов ответов</w:t>
            </w:r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794" w:type="dxa"/>
          </w:tcPr>
          <w:p w:rsidR="00596856" w:rsidRDefault="00596856">
            <w:pPr>
              <w:pStyle w:val="ConsPlusNormal"/>
              <w:jc w:val="center"/>
            </w:pPr>
            <w:r>
              <w:t>Штат</w:t>
            </w:r>
          </w:p>
        </w:tc>
        <w:tc>
          <w:tcPr>
            <w:tcW w:w="907" w:type="dxa"/>
          </w:tcPr>
          <w:p w:rsidR="00596856" w:rsidRDefault="00596856">
            <w:pPr>
              <w:pStyle w:val="ConsPlusNormal"/>
              <w:jc w:val="center"/>
            </w:pPr>
            <w:r>
              <w:t>Факт</w:t>
            </w: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bookmarkStart w:id="58" w:name="P741"/>
            <w:bookmarkEnd w:id="58"/>
            <w:r>
              <w:t>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bookmarkStart w:id="59" w:name="P742"/>
            <w:bookmarkEnd w:id="59"/>
            <w:r>
              <w:t>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3" w:type="dxa"/>
          </w:tcPr>
          <w:p w:rsidR="00596856" w:rsidRDefault="00596856">
            <w:pPr>
              <w:pStyle w:val="ConsPlusNormal"/>
              <w:jc w:val="center"/>
            </w:pPr>
            <w:bookmarkStart w:id="60" w:name="P777"/>
            <w:bookmarkEnd w:id="60"/>
            <w:r>
              <w:t>41</w:t>
            </w:r>
          </w:p>
        </w:tc>
        <w:tc>
          <w:tcPr>
            <w:tcW w:w="1104" w:type="dxa"/>
          </w:tcPr>
          <w:p w:rsidR="00596856" w:rsidRDefault="005968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596856" w:rsidRDefault="005968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596856" w:rsidRDefault="00596856">
            <w:pPr>
              <w:pStyle w:val="ConsPlusNormal"/>
              <w:jc w:val="center"/>
            </w:pPr>
            <w:r>
              <w:t>44</w:t>
            </w: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</w:tbl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8AE" w:rsidRDefault="00A438AE"/>
    <w:sectPr w:rsidR="00A438AE" w:rsidSect="00552DB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98" w:rsidRDefault="00CD7598" w:rsidP="00E208AD">
      <w:pPr>
        <w:spacing w:after="0" w:line="240" w:lineRule="auto"/>
      </w:pPr>
      <w:r>
        <w:separator/>
      </w:r>
    </w:p>
  </w:endnote>
  <w:endnote w:type="continuationSeparator" w:id="0">
    <w:p w:rsidR="00CD7598" w:rsidRDefault="00CD7598" w:rsidP="00E2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98" w:rsidRDefault="00CD7598" w:rsidP="00E208AD">
      <w:pPr>
        <w:spacing w:after="0" w:line="240" w:lineRule="auto"/>
      </w:pPr>
      <w:r>
        <w:separator/>
      </w:r>
    </w:p>
  </w:footnote>
  <w:footnote w:type="continuationSeparator" w:id="0">
    <w:p w:rsidR="00CD7598" w:rsidRDefault="00CD7598" w:rsidP="00E2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29B3"/>
    <w:multiLevelType w:val="hybridMultilevel"/>
    <w:tmpl w:val="F28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856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37DD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27C5"/>
    <w:rsid w:val="000D33C4"/>
    <w:rsid w:val="000D3AF5"/>
    <w:rsid w:val="000E0FF7"/>
    <w:rsid w:val="000E3A70"/>
    <w:rsid w:val="000E733F"/>
    <w:rsid w:val="001002CA"/>
    <w:rsid w:val="00112C2C"/>
    <w:rsid w:val="00113427"/>
    <w:rsid w:val="00113D06"/>
    <w:rsid w:val="00114B73"/>
    <w:rsid w:val="00121733"/>
    <w:rsid w:val="00121FB2"/>
    <w:rsid w:val="00122BB0"/>
    <w:rsid w:val="0013210A"/>
    <w:rsid w:val="0013239C"/>
    <w:rsid w:val="00140485"/>
    <w:rsid w:val="0014109C"/>
    <w:rsid w:val="001552B4"/>
    <w:rsid w:val="0015574A"/>
    <w:rsid w:val="00161055"/>
    <w:rsid w:val="00165550"/>
    <w:rsid w:val="001743E3"/>
    <w:rsid w:val="00175865"/>
    <w:rsid w:val="00185ACD"/>
    <w:rsid w:val="0018642D"/>
    <w:rsid w:val="001964FA"/>
    <w:rsid w:val="00197E8B"/>
    <w:rsid w:val="001A3C51"/>
    <w:rsid w:val="001A4D97"/>
    <w:rsid w:val="001B07B2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201DA"/>
    <w:rsid w:val="00241A55"/>
    <w:rsid w:val="00243D99"/>
    <w:rsid w:val="0025080C"/>
    <w:rsid w:val="00251988"/>
    <w:rsid w:val="00253BD1"/>
    <w:rsid w:val="002547E5"/>
    <w:rsid w:val="002563BC"/>
    <w:rsid w:val="002570CE"/>
    <w:rsid w:val="00261B33"/>
    <w:rsid w:val="00265459"/>
    <w:rsid w:val="0027161D"/>
    <w:rsid w:val="00272996"/>
    <w:rsid w:val="00284543"/>
    <w:rsid w:val="00285EAE"/>
    <w:rsid w:val="002A1646"/>
    <w:rsid w:val="002A2D48"/>
    <w:rsid w:val="002A461F"/>
    <w:rsid w:val="002B2DC8"/>
    <w:rsid w:val="002C3F9B"/>
    <w:rsid w:val="002D1BEA"/>
    <w:rsid w:val="002D324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579D0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3040"/>
    <w:rsid w:val="003A4B4A"/>
    <w:rsid w:val="003A7B14"/>
    <w:rsid w:val="003B757D"/>
    <w:rsid w:val="003B77A8"/>
    <w:rsid w:val="003B7AA0"/>
    <w:rsid w:val="003C63CB"/>
    <w:rsid w:val="003C6A13"/>
    <w:rsid w:val="003D6029"/>
    <w:rsid w:val="003D78B3"/>
    <w:rsid w:val="003E6017"/>
    <w:rsid w:val="003F0CA5"/>
    <w:rsid w:val="003F0DA3"/>
    <w:rsid w:val="003F2C59"/>
    <w:rsid w:val="003F3B9D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1F20"/>
    <w:rsid w:val="00433816"/>
    <w:rsid w:val="00434D8A"/>
    <w:rsid w:val="00442C43"/>
    <w:rsid w:val="00443417"/>
    <w:rsid w:val="00444CAE"/>
    <w:rsid w:val="00450B4E"/>
    <w:rsid w:val="00451885"/>
    <w:rsid w:val="00454C90"/>
    <w:rsid w:val="00462965"/>
    <w:rsid w:val="00463D48"/>
    <w:rsid w:val="00464118"/>
    <w:rsid w:val="0046738B"/>
    <w:rsid w:val="00474717"/>
    <w:rsid w:val="004872D8"/>
    <w:rsid w:val="0048794E"/>
    <w:rsid w:val="00496B56"/>
    <w:rsid w:val="004A149D"/>
    <w:rsid w:val="004A6B40"/>
    <w:rsid w:val="004B218E"/>
    <w:rsid w:val="004B35A0"/>
    <w:rsid w:val="004B7508"/>
    <w:rsid w:val="004B7540"/>
    <w:rsid w:val="004C4FDB"/>
    <w:rsid w:val="004D0790"/>
    <w:rsid w:val="004E2085"/>
    <w:rsid w:val="004E43EF"/>
    <w:rsid w:val="004E5C95"/>
    <w:rsid w:val="004E7E32"/>
    <w:rsid w:val="004F2135"/>
    <w:rsid w:val="005135EB"/>
    <w:rsid w:val="00521377"/>
    <w:rsid w:val="005237AF"/>
    <w:rsid w:val="00526AC3"/>
    <w:rsid w:val="00526BF7"/>
    <w:rsid w:val="005331A1"/>
    <w:rsid w:val="00533525"/>
    <w:rsid w:val="00535EEC"/>
    <w:rsid w:val="005403DD"/>
    <w:rsid w:val="00552DB9"/>
    <w:rsid w:val="0055308A"/>
    <w:rsid w:val="00570D9F"/>
    <w:rsid w:val="00580A1F"/>
    <w:rsid w:val="00581225"/>
    <w:rsid w:val="005814F6"/>
    <w:rsid w:val="0058563F"/>
    <w:rsid w:val="00586738"/>
    <w:rsid w:val="0059505A"/>
    <w:rsid w:val="00596856"/>
    <w:rsid w:val="005A14A5"/>
    <w:rsid w:val="005A35D9"/>
    <w:rsid w:val="005A3AEE"/>
    <w:rsid w:val="005A3DCC"/>
    <w:rsid w:val="005A452A"/>
    <w:rsid w:val="005A4DCC"/>
    <w:rsid w:val="005C2541"/>
    <w:rsid w:val="005C3AEE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36A00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6F153D"/>
    <w:rsid w:val="006F7DAC"/>
    <w:rsid w:val="00715EBC"/>
    <w:rsid w:val="007202D2"/>
    <w:rsid w:val="00721B8C"/>
    <w:rsid w:val="00722C27"/>
    <w:rsid w:val="00724EE9"/>
    <w:rsid w:val="00725EA5"/>
    <w:rsid w:val="00731711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125D"/>
    <w:rsid w:val="0079505B"/>
    <w:rsid w:val="0079524C"/>
    <w:rsid w:val="00795924"/>
    <w:rsid w:val="00796273"/>
    <w:rsid w:val="007A4035"/>
    <w:rsid w:val="007B28E5"/>
    <w:rsid w:val="007B6F50"/>
    <w:rsid w:val="007B79AE"/>
    <w:rsid w:val="007D5DE0"/>
    <w:rsid w:val="007E13E3"/>
    <w:rsid w:val="007E2C34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651C"/>
    <w:rsid w:val="00887CEA"/>
    <w:rsid w:val="00894141"/>
    <w:rsid w:val="008A4E5E"/>
    <w:rsid w:val="008A6B59"/>
    <w:rsid w:val="008B6F5C"/>
    <w:rsid w:val="008C0097"/>
    <w:rsid w:val="008C267A"/>
    <w:rsid w:val="008D62F6"/>
    <w:rsid w:val="008E5D6A"/>
    <w:rsid w:val="008E720D"/>
    <w:rsid w:val="008F0EF1"/>
    <w:rsid w:val="008F56E4"/>
    <w:rsid w:val="008F632B"/>
    <w:rsid w:val="00907847"/>
    <w:rsid w:val="00907863"/>
    <w:rsid w:val="009159C8"/>
    <w:rsid w:val="00920674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6296D"/>
    <w:rsid w:val="00965CA8"/>
    <w:rsid w:val="00970075"/>
    <w:rsid w:val="00971BC9"/>
    <w:rsid w:val="0097467E"/>
    <w:rsid w:val="00976591"/>
    <w:rsid w:val="00992C60"/>
    <w:rsid w:val="009952E0"/>
    <w:rsid w:val="009A3C19"/>
    <w:rsid w:val="009A4401"/>
    <w:rsid w:val="009B5702"/>
    <w:rsid w:val="009B5A48"/>
    <w:rsid w:val="009B5AF6"/>
    <w:rsid w:val="009C016A"/>
    <w:rsid w:val="009C537F"/>
    <w:rsid w:val="009D23AF"/>
    <w:rsid w:val="009D3CC3"/>
    <w:rsid w:val="009D4A41"/>
    <w:rsid w:val="009E1DEA"/>
    <w:rsid w:val="009E4EC2"/>
    <w:rsid w:val="009F28CC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B05E2"/>
    <w:rsid w:val="00AC17EB"/>
    <w:rsid w:val="00AC5385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0BEC"/>
    <w:rsid w:val="00B47339"/>
    <w:rsid w:val="00B5052C"/>
    <w:rsid w:val="00B632B9"/>
    <w:rsid w:val="00B76775"/>
    <w:rsid w:val="00B84D32"/>
    <w:rsid w:val="00B87787"/>
    <w:rsid w:val="00B93EC3"/>
    <w:rsid w:val="00B9676D"/>
    <w:rsid w:val="00BA570A"/>
    <w:rsid w:val="00BB6449"/>
    <w:rsid w:val="00BC1E79"/>
    <w:rsid w:val="00BC5C74"/>
    <w:rsid w:val="00BD7EC3"/>
    <w:rsid w:val="00BE2D8C"/>
    <w:rsid w:val="00BF309F"/>
    <w:rsid w:val="00BF4706"/>
    <w:rsid w:val="00C028A6"/>
    <w:rsid w:val="00C03D46"/>
    <w:rsid w:val="00C10052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47176"/>
    <w:rsid w:val="00C50CF6"/>
    <w:rsid w:val="00C513DE"/>
    <w:rsid w:val="00C529D3"/>
    <w:rsid w:val="00C63C12"/>
    <w:rsid w:val="00C6543E"/>
    <w:rsid w:val="00C6672B"/>
    <w:rsid w:val="00C71AF4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554F"/>
    <w:rsid w:val="00CB73DD"/>
    <w:rsid w:val="00CC1D00"/>
    <w:rsid w:val="00CC40D8"/>
    <w:rsid w:val="00CC709E"/>
    <w:rsid w:val="00CD003B"/>
    <w:rsid w:val="00CD3190"/>
    <w:rsid w:val="00CD54BC"/>
    <w:rsid w:val="00CD7598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7A5D"/>
    <w:rsid w:val="00D13BA5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41E1"/>
    <w:rsid w:val="00E208AD"/>
    <w:rsid w:val="00E223CA"/>
    <w:rsid w:val="00E227AA"/>
    <w:rsid w:val="00E22F83"/>
    <w:rsid w:val="00E34976"/>
    <w:rsid w:val="00E35662"/>
    <w:rsid w:val="00E43ED4"/>
    <w:rsid w:val="00E475A4"/>
    <w:rsid w:val="00E47A52"/>
    <w:rsid w:val="00E550B9"/>
    <w:rsid w:val="00E61B26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6EBF"/>
    <w:rsid w:val="00ED2D40"/>
    <w:rsid w:val="00ED3AA9"/>
    <w:rsid w:val="00ED4A5C"/>
    <w:rsid w:val="00ED4FDD"/>
    <w:rsid w:val="00ED6BA7"/>
    <w:rsid w:val="00EE1AF1"/>
    <w:rsid w:val="00EE2429"/>
    <w:rsid w:val="00EE3517"/>
    <w:rsid w:val="00EE42A9"/>
    <w:rsid w:val="00EF0853"/>
    <w:rsid w:val="00EF101A"/>
    <w:rsid w:val="00EF629C"/>
    <w:rsid w:val="00F003AA"/>
    <w:rsid w:val="00F021C1"/>
    <w:rsid w:val="00F03CBD"/>
    <w:rsid w:val="00F058BB"/>
    <w:rsid w:val="00F061DB"/>
    <w:rsid w:val="00F11202"/>
    <w:rsid w:val="00F1385B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63170"/>
    <w:rsid w:val="00F71481"/>
    <w:rsid w:val="00F71BE3"/>
    <w:rsid w:val="00F72A43"/>
    <w:rsid w:val="00F73086"/>
    <w:rsid w:val="00F73261"/>
    <w:rsid w:val="00F759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2DDC"/>
    <w:rsid w:val="00FE3A38"/>
    <w:rsid w:val="00FE4884"/>
    <w:rsid w:val="00FE73C8"/>
    <w:rsid w:val="00FF0F1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D"/>
  </w:style>
  <w:style w:type="paragraph" w:styleId="1">
    <w:name w:val="heading 1"/>
    <w:basedOn w:val="a"/>
    <w:next w:val="a"/>
    <w:link w:val="10"/>
    <w:qFormat/>
    <w:rsid w:val="00093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6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6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968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3A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8AD"/>
  </w:style>
  <w:style w:type="paragraph" w:styleId="a6">
    <w:name w:val="footer"/>
    <w:basedOn w:val="a"/>
    <w:link w:val="a7"/>
    <w:uiPriority w:val="99"/>
    <w:semiHidden/>
    <w:unhideWhenUsed/>
    <w:rsid w:val="00E2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173ACAC33BECC16D6A61FC3623858413F60AA3D93680FAE1A0B20389AEBC3EAE39D56E5821EB38CDF7EF8C1763AC75B897D3B37256r7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960CA-5C3D-4137-ACD2-F1B22A82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26</Pages>
  <Words>6044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Пугачева </cp:lastModifiedBy>
  <cp:revision>77</cp:revision>
  <cp:lastPrinted>2019-01-14T10:29:00Z</cp:lastPrinted>
  <dcterms:created xsi:type="dcterms:W3CDTF">2019-01-11T07:51:00Z</dcterms:created>
  <dcterms:modified xsi:type="dcterms:W3CDTF">2019-02-18T10:05:00Z</dcterms:modified>
</cp:coreProperties>
</file>